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Autospacing="1" w:afterAutospacing="1"/>
        <w:rPr>
          <w:rFonts w:eastAsia="Times New Roman" w:cs="Calibri" w:cstheme="minorHAnsi"/>
          <w:b/>
          <w:b/>
          <w:bCs/>
          <w:caps/>
          <w:spacing w:val="2"/>
          <w:kern w:val="2"/>
          <w:lang w:eastAsia="it-IT"/>
        </w:rPr>
      </w:pPr>
      <w:r>
        <w:rPr>
          <w:rFonts w:eastAsia="Times New Roman" w:cs="Calibri" w:cstheme="minorHAnsi"/>
          <w:lang w:eastAsia="it-IT"/>
        </w:rPr>
        <w:t> </w:t>
      </w:r>
      <w:r>
        <w:rPr>
          <w:rFonts w:eastAsia="Times New Roman" w:cs="Calibri" w:cstheme="minorHAnsi"/>
          <w:b/>
          <w:bCs/>
          <w:caps/>
          <w:spacing w:val="2"/>
          <w:kern w:val="2"/>
          <w:lang w:eastAsia="it-IT"/>
        </w:rPr>
        <w:t xml:space="preserve">AVVISO PUBBLICO DEL MINISTERO PER I BENI E LE ATTIVITÀ CULTURALI 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eastAsia="Times New Roman" w:cs="Calibri" w:cstheme="minorHAnsi"/>
          <w:b/>
          <w:b/>
          <w:bCs/>
          <w:kern w:val="2"/>
          <w:lang w:eastAsia="it-IT"/>
        </w:rPr>
      </w:pPr>
      <w:r>
        <w:rPr>
          <w:rFonts w:eastAsia="Times New Roman" w:cs="Calibri" w:cstheme="minorHAnsi"/>
          <w:b/>
          <w:bCs/>
          <w:caps/>
          <w:spacing w:val="2"/>
          <w:kern w:val="2"/>
          <w:lang w:eastAsia="it-IT"/>
        </w:rPr>
        <w:t>SCADENZA: 5 LUGLIO 2019   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b/>
          <w:bCs/>
          <w:lang w:eastAsia="it-IT"/>
        </w:rPr>
        <w:t>“</w:t>
      </w:r>
      <w:r>
        <w:rPr>
          <w:rFonts w:eastAsia="Times New Roman" w:cs="Calibri" w:cstheme="minorHAnsi"/>
          <w:b/>
          <w:bCs/>
          <w:lang w:eastAsia="it-IT"/>
        </w:rPr>
        <w:t>SCUOLA ATTIVA LA CULTURA”</w:t>
      </w:r>
      <w:r>
        <w:rPr>
          <w:rFonts w:eastAsia="Times New Roman" w:cs="Calibri" w:cstheme="minorHAnsi"/>
          <w:lang w:eastAsia="it-IT"/>
        </w:rPr>
        <w:t>, bando rivolto a tutte le </w:t>
      </w:r>
      <w:r>
        <w:rPr>
          <w:rFonts w:eastAsia="Times New Roman" w:cs="Calibri" w:cstheme="minorHAnsi"/>
          <w:b/>
          <w:bCs/>
          <w:lang w:eastAsia="it-IT"/>
        </w:rPr>
        <w:t>istituzioni scolastiche statali secondarie di primo e secondo grado</w:t>
      </w:r>
      <w:r>
        <w:rPr>
          <w:rFonts w:eastAsia="Times New Roman" w:cs="Calibri" w:cstheme="minorHAnsi"/>
          <w:lang w:eastAsia="it-IT"/>
        </w:rPr>
        <w:t> delle città metropolitane e città capoluogo di provincia singolarmente e/o loro reti e consorzi anche come capofila di partenariati.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outlineLvl w:val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FOCUS DELL’AZIONE: LA COLLABORAZIONE CIVICA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outlineLvl w:val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La collaborazione civica è un traguardo importante che Cultura Futuro Urbano si propone di raggiungere attraverso l’azione “Scuola attiva la cultura”, finanziando progetti che prevedono il coinvolgimento degli abitanti di comunità e quartieri complessi.</w:t>
      </w:r>
    </w:p>
    <w:p>
      <w:pPr>
        <w:pStyle w:val="Normal"/>
        <w:shd w:val="clear" w:color="auto" w:fill="FFFFFF"/>
        <w:spacing w:lineRule="atLeast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In particolare, l’azione finanzierà progetti che mirano a diversificare e ampliare l’offerta culturale, anche in collaborazione con i partner - istituzioni pubbliche, soggetti privati locali, istituzioni cognitive, società civile organizzata, artisti e creativi – grazie all’apertura in orario extra curricolare delle scuole situate nelle aree prioritarie e complesse delle città metropolitane e dei capoluoghi di provincia.</w:t>
      </w:r>
    </w:p>
    <w:p>
      <w:pPr>
        <w:pStyle w:val="Normal"/>
        <w:shd w:val="clear" w:color="auto" w:fill="FFFFFF"/>
        <w:spacing w:lineRule="atLeast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Particolare attenzione sarà dedicata all’azione di monitoraggio attraverso una valutazione dei risultati raggiunti.</w:t>
      </w:r>
    </w:p>
    <w:p>
      <w:pPr>
        <w:pStyle w:val="Normal"/>
        <w:shd w:val="clear" w:color="auto" w:fill="FFFFFF"/>
        <w:spacing w:lineRule="atLeast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outlineLvl w:val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CHI PUÒ ACCEDERE AI BANDI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jc w:val="both"/>
        <w:outlineLvl w:val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b/>
          <w:bCs/>
          <w:kern w:val="2"/>
          <w:lang w:eastAsia="it-IT"/>
        </w:rPr>
        <w:t>Nell’ambito del Piano Cultura Futuro Urbano‚ il Ministero per i beni e le attività culturali – Direzione generale arte e architettura contemporanea e periferie urbane – l’Avviso pubblico ha per oggetto il finanziamento di progetti culturali finalizzati alla rigenerazione urbana attraverso la realizzazione di attività culturali e creative. L’Avviso vuole inoltre stimolare la realizzazione di progetti‚ attività culturali e creative innovative che facciano leva sull’azione collettiva e sulla collaborazione civica e sperimentino forme di partenariato pubblico-comunità.</w:t>
      </w:r>
    </w:p>
    <w:p>
      <w:pPr>
        <w:pStyle w:val="Normal"/>
        <w:shd w:val="clear" w:color="auto" w:fill="FFFFFF"/>
        <w:spacing w:lineRule="atLeast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Nell’ambito dell’azione strategica “Scuola attiva la cultura”, potranno avere accesso ai bandi tutte le </w:t>
      </w:r>
      <w:r>
        <w:rPr>
          <w:rFonts w:eastAsia="Times New Roman" w:cs="Calibri" w:cstheme="minorHAnsi"/>
          <w:b/>
          <w:bCs/>
          <w:lang w:eastAsia="it-IT"/>
        </w:rPr>
        <w:t>istituzioni scolastiche statali secondarie di primo e secondo grado</w:t>
      </w:r>
      <w:r>
        <w:rPr>
          <w:rFonts w:eastAsia="Times New Roman" w:cs="Calibri" w:cstheme="minorHAnsi"/>
          <w:lang w:eastAsia="it-IT"/>
        </w:rPr>
        <w:t> delle città metropolitane e città capoluogo di provincia singolarmente e/o loro reti e consorzi anche come capofila di partenariati.</w:t>
      </w:r>
    </w:p>
    <w:p>
      <w:pPr>
        <w:pStyle w:val="Normal"/>
        <w:shd w:val="clear" w:color="auto" w:fill="FFFFFF"/>
        <w:spacing w:lineRule="atLeast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</w:r>
    </w:p>
    <w:p>
      <w:pPr>
        <w:pStyle w:val="Normal"/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Alcuni esempi di soggetti per il </w:t>
      </w:r>
      <w:r>
        <w:rPr>
          <w:rFonts w:eastAsia="Times New Roman" w:cs="Calibri" w:cstheme="minorHAnsi"/>
          <w:b/>
          <w:bCs/>
          <w:lang w:eastAsia="it-IT"/>
        </w:rPr>
        <w:t>partenariato</w:t>
      </w:r>
      <w:r>
        <w:rPr>
          <w:rFonts w:eastAsia="Times New Roman" w:cs="Calibri" w:cstheme="minorHAnsi"/>
          <w:lang w:eastAsia="it-IT"/>
        </w:rPr>
        <w:t>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Enti pubblici, regioni, comuni, province (es. assessorati alla cultura);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Associazioni e Istituzioni culturali non profit;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Fondazioni non profit;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Università e Centri di Ricerca (dipartimenti attivi nei settori culturali e creativi);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Associazioni, comitati o gruppo informali di cittadini attivi.</w:t>
      </w:r>
    </w:p>
    <w:p>
      <w:pPr>
        <w:pStyle w:val="Normal"/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Alcuni esempi di soggetti per il </w:t>
      </w:r>
      <w:r>
        <w:rPr>
          <w:rFonts w:eastAsia="Times New Roman" w:cs="Calibri" w:cstheme="minorHAnsi"/>
          <w:b/>
          <w:bCs/>
          <w:lang w:eastAsia="it-IT"/>
        </w:rPr>
        <w:t>partenariato in qualità di co-finanziatori</w:t>
      </w:r>
      <w:r>
        <w:rPr>
          <w:rFonts w:eastAsia="Times New Roman" w:cs="Calibri" w:cstheme="minorHAnsi"/>
          <w:lang w:eastAsia="it-IT"/>
        </w:rPr>
        <w:t>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Esercizio commerciale od artigianale di vicinato e di quartiere anche con riferimento a mestieri antichi e/o tradizionali;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Imprese culturali e creative;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Professionisti esperti di progettazione culturale per la creatività urbana.</w:t>
      </w:r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 xml:space="preserve">Il finanziamento erogabile è fissato nella misura massima dell’80% dei costi ammissibili e comunque entro il limite </w:t>
      </w:r>
      <w:bookmarkStart w:id="0" w:name="_GoBack"/>
      <w:bookmarkEnd w:id="0"/>
      <w:r>
        <w:rPr>
          <w:rFonts w:eastAsia="Times New Roman" w:cs="Calibri" w:cstheme="minorHAnsi"/>
          <w:lang w:eastAsia="it-IT"/>
        </w:rPr>
        <w:t>massimo di 80.000‚00.</w:t>
      </w:r>
    </w:p>
    <w:p>
      <w:pPr>
        <w:pStyle w:val="Normal"/>
        <w:shd w:val="clear" w:color="auto" w:fill="FFFFFF"/>
        <w:spacing w:lineRule="auto" w:line="240" w:before="0" w:afterAutospacing="1"/>
        <w:rPr>
          <w:rFonts w:ascii="Helvetica" w:hAnsi="Helvetica" w:eastAsia="Times New Roman" w:cs="Helvetica"/>
          <w:color w:val="26282A"/>
          <w:sz w:val="12"/>
          <w:szCs w:val="12"/>
          <w:lang w:eastAsia="it-IT"/>
        </w:rPr>
      </w:pPr>
      <w:r>
        <w:rPr>
          <w:rFonts w:eastAsia="Times New Roman" w:cs="Calibri" w:cstheme="minorHAnsi"/>
          <w:lang w:eastAsia="it-IT"/>
        </w:rPr>
        <w:t>I progetti potranno essere presentati </w:t>
      </w:r>
      <w:r>
        <w:rPr>
          <w:rFonts w:eastAsia="Times New Roman" w:cs="Calibri" w:cstheme="minorHAnsi"/>
          <w:b/>
          <w:bCs/>
          <w:lang w:eastAsia="it-IT"/>
        </w:rPr>
        <w:t>dal 7 maggio 2019 fino alle ore 12:00 del 5 luglio</w:t>
      </w:r>
      <w:r>
        <w:rPr>
          <w:rFonts w:eastAsia="Times New Roman" w:cs="Arial" w:ascii="Arial" w:hAnsi="Arial"/>
          <w:b/>
          <w:bCs/>
          <w:sz w:val="24"/>
          <w:szCs w:val="24"/>
          <w:lang w:eastAsia="it-IT"/>
        </w:rPr>
        <w:t xml:space="preserve"> </w:t>
      </w:r>
      <w:r>
        <w:rPr>
          <w:rFonts w:eastAsia="Times New Roman" w:cs="Calibri" w:cstheme="minorHAnsi"/>
          <w:b/>
          <w:bCs/>
          <w:lang w:eastAsia="it-IT"/>
        </w:rPr>
        <w:t>2019</w:t>
      </w:r>
      <w:r>
        <w:rPr>
          <w:rFonts w:eastAsia="Times New Roman" w:cs="Arial" w:ascii="Arial" w:hAnsi="Arial"/>
          <w:color w:val="333333"/>
          <w:sz w:val="24"/>
          <w:szCs w:val="24"/>
          <w:lang w:eastAsia="it-IT"/>
        </w:rPr>
        <w:t>.</w:t>
      </w:r>
    </w:p>
    <w:p>
      <w:pPr>
        <w:pStyle w:val="Normal"/>
        <w:shd w:val="clear" w:color="auto" w:fill="FFFFFF"/>
        <w:spacing w:lineRule="auto" w:line="240" w:before="0" w:after="150"/>
        <w:rPr>
          <w:rFonts w:ascii="Helvetica" w:hAnsi="Helvetica" w:eastAsia="Times New Roman" w:cs="Helvetica"/>
          <w:color w:val="26282A"/>
          <w:sz w:val="12"/>
          <w:szCs w:val="12"/>
          <w:lang w:eastAsia="it-IT"/>
        </w:rPr>
      </w:pPr>
      <w:r>
        <w:rPr>
          <w:rFonts w:eastAsia="Times New Roman" w:cs="Helvetica" w:ascii="Helvetica" w:hAnsi="Helvetica"/>
          <w:color w:val="26282A"/>
          <w:sz w:val="12"/>
          <w:szCs w:val="12"/>
          <w:lang w:eastAsia="it-IT"/>
        </w:rPr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Helvetica" w:ascii="Helvetica" w:hAnsi="Helvetica"/>
          <w:color w:val="000000"/>
          <w:sz w:val="27"/>
          <w:szCs w:val="27"/>
          <w:lang w:eastAsia="it-IT"/>
        </w:rPr>
        <w:t>Link : </w:t>
      </w:r>
      <w:hyperlink r:id="rId2">
        <w:r>
          <w:rPr>
            <w:rStyle w:val="CollegamentoInternet"/>
            <w:rFonts w:eastAsia="Times New Roman" w:cs="Helvetica" w:ascii="Helvetica" w:hAnsi="Helvetica"/>
            <w:sz w:val="27"/>
            <w:lang w:eastAsia="it-IT"/>
          </w:rPr>
          <w:t>http://dev-cultura-futuro-urbano.pomilio.it/index.html</w:t>
        </w:r>
      </w:hyperlink>
    </w:p>
    <w:p>
      <w:pPr>
        <w:pStyle w:val="Normal"/>
        <w:shd w:val="clear" w:color="auto" w:fill="FFFFFF"/>
        <w:spacing w:lineRule="auto" w:line="240" w:before="0" w:after="150"/>
        <w:rPr/>
      </w:pPr>
      <w:hyperlink r:id="rId3" w:tgtFrame="_blank">
        <w:r>
          <w:rPr>
            <w:rStyle w:val="ListLabel38"/>
            <w:rFonts w:eastAsia="Times New Roman" w:cs="Helvetica" w:ascii="Helvetica" w:hAnsi="Helvetica"/>
            <w:color w:val="1155CC"/>
            <w:sz w:val="27"/>
            <w:szCs w:val="27"/>
            <w:u w:val="single"/>
            <w:lang w:eastAsia="it-IT"/>
          </w:rPr>
          <w:br/>
        </w:r>
      </w:hyperlink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583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20560c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paragraph" w:styleId="Titolo2">
    <w:name w:val="Heading 2"/>
    <w:basedOn w:val="Normal"/>
    <w:next w:val="Normal"/>
    <w:link w:val="Titolo2Carattere"/>
    <w:uiPriority w:val="9"/>
    <w:semiHidden/>
    <w:unhideWhenUsed/>
    <w:qFormat/>
    <w:rsid w:val="002f2e01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20560c"/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character" w:styleId="Enfasi">
    <w:name w:val="Enfasi"/>
    <w:basedOn w:val="DefaultParagraphFont"/>
    <w:uiPriority w:val="20"/>
    <w:qFormat/>
    <w:rsid w:val="0020560c"/>
    <w:rPr>
      <w:i/>
      <w:iCs/>
    </w:rPr>
  </w:style>
  <w:style w:type="character" w:styleId="Strong">
    <w:name w:val="Strong"/>
    <w:basedOn w:val="DefaultParagraphFont"/>
    <w:uiPriority w:val="22"/>
    <w:qFormat/>
    <w:rsid w:val="0020560c"/>
    <w:rPr>
      <w:b/>
      <w:bCs/>
    </w:rPr>
  </w:style>
  <w:style w:type="character" w:styleId="CollegamentoInternet">
    <w:name w:val="Collegamento Internet"/>
    <w:basedOn w:val="DefaultParagraphFont"/>
    <w:uiPriority w:val="99"/>
    <w:unhideWhenUsed/>
    <w:rsid w:val="0020560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92e58"/>
    <w:rPr>
      <w:color w:val="605E5C"/>
      <w:shd w:fill="E1DFDD" w:val="clear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2f2e0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rFonts w:ascii="Helvetica" w:hAnsi="Helvetica" w:eastAsia="Times New Roman" w:cs="Helvetica"/>
      <w:sz w:val="27"/>
      <w:lang w:eastAsia="it-IT"/>
    </w:rPr>
  </w:style>
  <w:style w:type="character" w:styleId="ListLabel38">
    <w:name w:val="ListLabel 38"/>
    <w:qFormat/>
    <w:rPr>
      <w:rFonts w:ascii="Helvetica" w:hAnsi="Helvetica" w:eastAsia="Times New Roman" w:cs="Helvetica"/>
      <w:color w:val="1155CC"/>
      <w:sz w:val="27"/>
      <w:szCs w:val="27"/>
      <w:u w:val="single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20560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2f2e0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ev-cultura-futuro-urbano.pomilio.it/index.html" TargetMode="External"/><Relationship Id="rId3" Type="http://schemas.openxmlformats.org/officeDocument/2006/relationships/hyperlink" Target="http://mtrack.me/tracking/raWzMz50paMkCGHjZmVkZGZkBQpzMKWjqzA2pzSaqaR9ZGxmAGR5AQtlWay2LKu2pG0kBGZkAQLkZQV2ZIb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LibreOffice/6.1.5.2$Windows_X86_64 LibreOffice_project/90f8dcf33c87b3705e78202e3df5142b201bd805</Application>
  <Pages>2</Pages>
  <Words>414</Words>
  <Characters>2627</Characters>
  <CharactersWithSpaces>3019</CharactersWithSpaces>
  <Paragraphs>24</Paragraphs>
  <Company>BASTARDS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2019-05-20T14:17:00Z</dcterms:created>
  <dc:creator>ACER</dc:creator>
  <dc:description/>
  <dc:language>it-IT</dc:language>
  <cp:lastModifiedBy>elvira blotta</cp:lastModifiedBy>
  <dcterms:modified xsi:type="dcterms:W3CDTF">2019-05-20T14:43:00Z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BASTARDS TeaM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